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200535D" w:rsidRDefault="3200535D" w14:paraId="57A9EEEE" w14:textId="1B34245E">
      <w:r w:rsidR="3200535D">
        <w:rPr/>
        <w:t xml:space="preserve">The Dubai Arbitration Week </w:t>
      </w:r>
      <w:r w:rsidR="3200535D">
        <w:rPr/>
        <w:t>Organising</w:t>
      </w:r>
      <w:r w:rsidR="3200535D">
        <w:rPr/>
        <w:t xml:space="preserve"> Committee is delighted to invite all interested firms, institutions, bodies, and </w:t>
      </w:r>
      <w:r w:rsidR="3200535D">
        <w:rPr/>
        <w:t>organisations</w:t>
      </w:r>
      <w:r w:rsidR="3200535D">
        <w:rPr/>
        <w:t xml:space="preserve"> to </w:t>
      </w:r>
      <w:r w:rsidR="3200535D">
        <w:rPr/>
        <w:t>submit</w:t>
      </w:r>
      <w:r w:rsidR="3200535D">
        <w:rPr/>
        <w:t xml:space="preserve"> formal proposals to host an event during Dubai Arbitration Week 2024, which is scheduled to take place in the week </w:t>
      </w:r>
      <w:r w:rsidR="3200535D">
        <w:rPr/>
        <w:t>commencing</w:t>
      </w:r>
      <w:r w:rsidR="3200535D">
        <w:rPr/>
        <w:t xml:space="preserve"> Monday 11 November 2024.</w:t>
      </w:r>
    </w:p>
    <w:p w:rsidR="3200535D" w:rsidP="3200535D" w:rsidRDefault="3200535D" w14:paraId="4A8C520F" w14:textId="78DEC8C8">
      <w:pPr>
        <w:pStyle w:val="Normal"/>
      </w:pPr>
      <w:r w:rsidR="3200535D">
        <w:rPr/>
        <w:t xml:space="preserve">All participating firms and institutions are requested to abide by the DAW </w:t>
      </w:r>
      <w:hyperlink r:id="Rf541077265804899">
        <w:r w:rsidRPr="3200535D" w:rsidR="3200535D">
          <w:rPr>
            <w:rStyle w:val="Hyperlink"/>
          </w:rPr>
          <w:t>Guidelines</w:t>
        </w:r>
      </w:hyperlink>
      <w:r w:rsidR="3200535D">
        <w:rPr/>
        <w:t xml:space="preserve">. Failure to do so may result in not being included on the official DAW 2024 schedule. Proposals should be </w:t>
      </w:r>
      <w:r w:rsidR="3200535D">
        <w:rPr/>
        <w:t>submitted</w:t>
      </w:r>
      <w:r w:rsidR="3200535D">
        <w:rPr/>
        <w:t xml:space="preserve"> by email to </w:t>
      </w:r>
      <w:hyperlink r:id="R5ab4f436a5994905">
        <w:r w:rsidRPr="3200535D" w:rsidR="3200535D">
          <w:rPr>
            <w:rStyle w:val="Hyperlink"/>
          </w:rPr>
          <w:t>events@diac.com</w:t>
        </w:r>
      </w:hyperlink>
      <w:r w:rsidR="3200535D">
        <w:rPr/>
        <w:t xml:space="preserve"> on or before Friday 26 July 2024, together with the following outline information and a high-resolution logo for each organiser and any proposed sponsors:</w:t>
      </w:r>
    </w:p>
    <w:p w:rsidR="3200535D" w:rsidP="3200535D" w:rsidRDefault="3200535D" w14:paraId="07B87DE0" w14:textId="0AF77CBE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200535D" w:rsidTr="3200535D" w14:paraId="4700679C">
        <w:trPr>
          <w:trHeight w:val="300"/>
        </w:trPr>
        <w:tc>
          <w:tcPr>
            <w:tcW w:w="9360" w:type="dxa"/>
            <w:gridSpan w:val="2"/>
            <w:tcMar/>
          </w:tcPr>
          <w:p w:rsidR="3200535D" w:rsidP="3200535D" w:rsidRDefault="3200535D" w14:paraId="0E136AD8" w14:textId="4676FDD1">
            <w:pPr>
              <w:pStyle w:val="Normal"/>
              <w:jc w:val="center"/>
            </w:pPr>
            <w:r w:rsidRPr="3200535D" w:rsidR="3200535D">
              <w:rPr>
                <w:b w:val="1"/>
                <w:bCs w:val="1"/>
              </w:rPr>
              <w:t>Event Form</w:t>
            </w:r>
          </w:p>
        </w:tc>
      </w:tr>
      <w:tr w:rsidR="3200535D" w:rsidTr="3200535D" w14:paraId="2B2FA708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17570359" w14:textId="41354778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GB"/>
              </w:rPr>
              <w:t>Event title:</w:t>
            </w: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80" w:type="dxa"/>
            <w:tcMar/>
          </w:tcPr>
          <w:p w:rsidR="3200535D" w:rsidP="3200535D" w:rsidRDefault="3200535D" w14:paraId="32EA18B2" w14:textId="1FA75D08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77D8FF37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7AA78B48" w14:textId="45B2D20F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GB"/>
              </w:rPr>
              <w:t>Date:</w:t>
            </w: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80" w:type="dxa"/>
            <w:tcMar/>
          </w:tcPr>
          <w:p w:rsidR="3200535D" w:rsidP="3200535D" w:rsidRDefault="3200535D" w14:paraId="1603E334" w14:textId="22427AF2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2B8531EF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2D344A9F" w14:textId="449490D0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GB"/>
              </w:rPr>
              <w:t>Event program:</w:t>
            </w: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80" w:type="dxa"/>
            <w:tcMar/>
          </w:tcPr>
          <w:p w:rsidR="3200535D" w:rsidP="3200535D" w:rsidRDefault="3200535D" w14:paraId="33B618A7" w14:textId="510C7BC8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1879D789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60EC101F" w14:textId="2D66C544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GB"/>
              </w:rPr>
              <w:t>Event description:</w:t>
            </w: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80" w:type="dxa"/>
            <w:tcMar/>
          </w:tcPr>
          <w:p w:rsidR="3200535D" w:rsidP="3200535D" w:rsidRDefault="3200535D" w14:paraId="6878AE7A" w14:textId="5DBFA204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3CA5D21F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02F9213E" w14:textId="28A52857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GB"/>
              </w:rPr>
              <w:t>Topic:</w:t>
            </w: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80" w:type="dxa"/>
            <w:tcMar/>
          </w:tcPr>
          <w:p w:rsidR="3200535D" w:rsidP="3200535D" w:rsidRDefault="3200535D" w14:paraId="68347FD5" w14:textId="72F1B638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7F5A4AB7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3E2E545F" w14:textId="63286602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GB"/>
              </w:rPr>
              <w:t>Timing:</w:t>
            </w: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80" w:type="dxa"/>
            <w:tcMar/>
          </w:tcPr>
          <w:p w:rsidR="3200535D" w:rsidP="3200535D" w:rsidRDefault="3200535D" w14:paraId="1A2D1086" w14:textId="6F8A52A0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1A9A72B3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1C96180D" w14:textId="6FCADA5E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GB"/>
              </w:rPr>
              <w:t>Event Fees: Paid or complimentary</w:t>
            </w: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  <w:tc>
          <w:tcPr>
            <w:tcW w:w="4680" w:type="dxa"/>
            <w:tcMar/>
          </w:tcPr>
          <w:p w:rsidR="3200535D" w:rsidP="3200535D" w:rsidRDefault="3200535D" w14:paraId="11530FFF" w14:textId="280AEE4B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63A2C623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27413BB4" w14:textId="59A12662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  <w:t xml:space="preserve">Speakers: </w:t>
            </w:r>
          </w:p>
        </w:tc>
        <w:tc>
          <w:tcPr>
            <w:tcW w:w="4680" w:type="dxa"/>
            <w:tcMar/>
          </w:tcPr>
          <w:p w:rsidR="3200535D" w:rsidP="3200535D" w:rsidRDefault="3200535D" w14:paraId="2793CD63" w14:textId="1BC3464E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64A3B5BC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6E1FA1FF" w14:textId="48F1B0B2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  <w:t xml:space="preserve">Format:  </w:t>
            </w:r>
          </w:p>
          <w:p w:rsidR="3200535D" w:rsidP="3200535D" w:rsidRDefault="3200535D" w14:paraId="54126D48" w14:textId="49245D4B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  <w:t xml:space="preserve">In-person / Online / Hybrid </w:t>
            </w:r>
          </w:p>
        </w:tc>
        <w:tc>
          <w:tcPr>
            <w:tcW w:w="4680" w:type="dxa"/>
            <w:tcMar/>
          </w:tcPr>
          <w:p w:rsidR="3200535D" w:rsidP="3200535D" w:rsidRDefault="3200535D" w14:paraId="5F457D44" w14:textId="16842E0E">
            <w:pPr>
              <w:spacing w:before="0" w:beforeAutospacing="off" w:after="0" w:afterAutospacing="off"/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16969CA3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30C3A833" w14:textId="4F866046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  <w:t xml:space="preserve">Registration details: </w:t>
            </w:r>
          </w:p>
        </w:tc>
        <w:tc>
          <w:tcPr>
            <w:tcW w:w="4680" w:type="dxa"/>
            <w:tcMar/>
          </w:tcPr>
          <w:p w:rsidR="3200535D" w:rsidP="3200535D" w:rsidRDefault="3200535D" w14:paraId="660817D4" w14:textId="6304379C">
            <w:pPr>
              <w:spacing w:before="0" w:beforeAutospacing="off" w:after="0" w:afterAutospacing="off"/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2C7625F3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01DA6A35" w14:textId="186AABC5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  <w:t xml:space="preserve">Who will be the Organizer and co-organizer: </w:t>
            </w:r>
          </w:p>
        </w:tc>
        <w:tc>
          <w:tcPr>
            <w:tcW w:w="4680" w:type="dxa"/>
            <w:tcMar/>
          </w:tcPr>
          <w:p w:rsidR="3200535D" w:rsidP="3200535D" w:rsidRDefault="3200535D" w14:paraId="1646A2F1" w14:textId="6620AFEB">
            <w:pPr>
              <w:spacing w:before="0" w:beforeAutospacing="off" w:after="0" w:afterAutospacing="off"/>
              <w:jc w:val="both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</w:rPr>
              <w:t xml:space="preserve"> </w:t>
            </w:r>
          </w:p>
        </w:tc>
      </w:tr>
      <w:tr w:rsidR="3200535D" w:rsidTr="3200535D" w14:paraId="6BCC8CC9">
        <w:trPr>
          <w:trHeight w:val="300"/>
        </w:trPr>
        <w:tc>
          <w:tcPr>
            <w:tcW w:w="4680" w:type="dxa"/>
            <w:tcMar/>
          </w:tcPr>
          <w:p w:rsidR="3200535D" w:rsidP="3200535D" w:rsidRDefault="3200535D" w14:paraId="26230DF2" w14:textId="3E84DEB3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</w:pPr>
            <w:r w:rsidRPr="3200535D" w:rsidR="3200535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lang w:val="en-US"/>
              </w:rPr>
              <w:t xml:space="preserve">Sponsors: </w:t>
            </w:r>
          </w:p>
        </w:tc>
        <w:tc>
          <w:tcPr>
            <w:tcW w:w="4680" w:type="dxa"/>
            <w:tcMar/>
          </w:tcPr>
          <w:p w:rsidR="3200535D" w:rsidP="3200535D" w:rsidRDefault="3200535D" w14:paraId="188291F2" w14:textId="7B057F4A">
            <w:pPr>
              <w:rPr>
                <w:rFonts w:ascii="Aptos" w:hAnsi="Aptos" w:eastAsia="Aptos" w:cs="Aptos"/>
              </w:rPr>
            </w:pPr>
          </w:p>
        </w:tc>
      </w:tr>
    </w:tbl>
    <w:p w:rsidR="3200535D" w:rsidP="3200535D" w:rsidRDefault="3200535D" w14:paraId="556D53E7" w14:textId="62A3D0CF">
      <w:pPr>
        <w:pStyle w:val="Normal"/>
      </w:pPr>
    </w:p>
    <w:p w:rsidR="3200535D" w:rsidP="3200535D" w:rsidRDefault="3200535D" w14:paraId="2FA461B9" w14:textId="5F1C78CE">
      <w:pPr>
        <w:pStyle w:val="Normal"/>
      </w:pPr>
      <w:r w:rsidR="3200535D">
        <w:rPr/>
        <w:t xml:space="preserve">All proposals received will be reviewed by the </w:t>
      </w:r>
      <w:r w:rsidR="3200535D">
        <w:rPr/>
        <w:t>Organising</w:t>
      </w:r>
      <w:r w:rsidR="3200535D">
        <w:rPr/>
        <w:t xml:space="preserve"> Committee and confirmation provided as soon as possible.</w:t>
      </w:r>
    </w:p>
    <w:p w:rsidR="3200535D" w:rsidP="3200535D" w:rsidRDefault="3200535D" w14:paraId="26B5BD87" w14:textId="7F4033A9">
      <w:pPr>
        <w:pStyle w:val="Normal"/>
      </w:pPr>
      <w:r w:rsidR="3200535D">
        <w:rPr/>
        <w:t xml:space="preserve">All event </w:t>
      </w:r>
      <w:r w:rsidR="3200535D">
        <w:rPr/>
        <w:t>organisers</w:t>
      </w:r>
      <w:r w:rsidR="3200535D">
        <w:rPr/>
        <w:t xml:space="preserve"> will be asked to pay a proposal fee of AED 3000 + VAT which will be payable in advance of the final </w:t>
      </w:r>
      <w:r w:rsidR="3200535D">
        <w:rPr/>
        <w:t>programme</w:t>
      </w:r>
      <w:r w:rsidR="3200535D">
        <w:rPr/>
        <w:t xml:space="preserve"> being advertised.</w:t>
      </w:r>
    </w:p>
    <w:p w:rsidR="3200535D" w:rsidP="3200535D" w:rsidRDefault="3200535D" w14:paraId="7410C07A" w14:textId="6EA04C3A">
      <w:pPr>
        <w:pStyle w:val="Normal"/>
      </w:pPr>
      <w:r w:rsidR="3200535D">
        <w:rPr/>
        <w:t xml:space="preserve">Further details are included in the attached DAW Guidelines for </w:t>
      </w:r>
      <w:r w:rsidR="3200535D">
        <w:rPr/>
        <w:t>your kind</w:t>
      </w:r>
      <w:r w:rsidR="3200535D">
        <w:rPr/>
        <w:t xml:space="preserve"> information.</w:t>
      </w:r>
    </w:p>
    <w:p w:rsidR="3200535D" w:rsidP="3200535D" w:rsidRDefault="3200535D" w14:paraId="6305926C" w14:textId="57594B26">
      <w:pPr>
        <w:pStyle w:val="Normal"/>
        <w:rPr>
          <w:rStyle w:val="Hyperlink"/>
        </w:rPr>
      </w:pPr>
      <w:r w:rsidR="3200535D">
        <w:rPr/>
        <w:t xml:space="preserve">Should you have any questions </w:t>
      </w:r>
      <w:r w:rsidR="3200535D">
        <w:rPr/>
        <w:t>regarding</w:t>
      </w:r>
      <w:r w:rsidR="3200535D">
        <w:rPr/>
        <w:t xml:space="preserve"> the </w:t>
      </w:r>
      <w:r w:rsidR="3200535D">
        <w:rPr/>
        <w:t>organisation</w:t>
      </w:r>
      <w:r w:rsidR="3200535D">
        <w:rPr/>
        <w:t xml:space="preserve"> of Dubai Arbitration Week, please contact the </w:t>
      </w:r>
      <w:r w:rsidR="3200535D">
        <w:rPr/>
        <w:t>Organising</w:t>
      </w:r>
      <w:r w:rsidR="3200535D">
        <w:rPr/>
        <w:t xml:space="preserve"> Committee by email to </w:t>
      </w:r>
      <w:hyperlink r:id="Rbad91d90b64146e8">
        <w:r w:rsidRPr="3200535D" w:rsidR="3200535D">
          <w:rPr>
            <w:rStyle w:val="Hyperlink"/>
          </w:rPr>
          <w:t>events@diac.com</w:t>
        </w:r>
      </w:hyperlink>
      <w:r w:rsidR="3200535D">
        <w:rPr/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49DC2F"/>
    <w:rsid w:val="0349DC2F"/>
    <w:rsid w:val="3200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DC2F"/>
  <w15:chartTrackingRefBased/>
  <w15:docId w15:val="{E9BCE420-F2B8-4F9C-B260-FF7DEC8A4A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ubaiarbitrationweek.com/guideline.html" TargetMode="External" Id="Rf541077265804899" /><Relationship Type="http://schemas.openxmlformats.org/officeDocument/2006/relationships/hyperlink" Target="mailto:events@diac.com" TargetMode="External" Id="R5ab4f436a5994905" /><Relationship Type="http://schemas.openxmlformats.org/officeDocument/2006/relationships/hyperlink" Target="mailto:events@diac.com" TargetMode="External" Id="Rbad91d90b64146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2024-06-11T10:27:11.5952532Z</dcterms:created>
  <dcterms:modified xsi:type="dcterms:W3CDTF">2024-06-11T10:33:59.4649774Z</dcterms:modified>
  <dc:creator>Babar Barkat</dc:creator>
  <lastModifiedBy>Babar Barkat</lastModifiedBy>
</coreProperties>
</file>